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108bis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cs="Arial"/>
          <w:b/>
          <w:sz w:val="24"/>
          <w:szCs w:val="24"/>
          <w:highlight w:val="none"/>
          <w:lang w:val="en-US" w:eastAsia="zh-CN"/>
        </w:rPr>
        <w:t>15678</w:t>
      </w:r>
    </w:p>
    <w:p>
      <w:pPr>
        <w:keepNext w:val="0"/>
        <w:keepLines w:val="0"/>
        <w:pageBreakBefore w:val="0"/>
        <w:widowControl w:val="0"/>
        <w:kinsoku/>
        <w:wordWrap/>
        <w:overflowPunct/>
        <w:topLinePunct w:val="0"/>
        <w:autoSpaceDE/>
        <w:autoSpaceDN/>
        <w:bidi w:val="0"/>
        <w:adjustRightInd/>
        <w:snapToGrid/>
        <w:spacing w:after="180"/>
        <w:jc w:val="left"/>
        <w:textAlignment w:val="auto"/>
        <w:rPr>
          <w:rFonts w:hint="eastAsia" w:ascii="Arial" w:hAnsi="Arial" w:cs="Arial"/>
          <w:b/>
          <w:sz w:val="24"/>
          <w:szCs w:val="24"/>
          <w:highlight w:val="none"/>
        </w:rPr>
      </w:pPr>
      <w:r>
        <w:rPr>
          <w:rFonts w:hint="eastAsia" w:ascii="Arial" w:hAnsi="Arial" w:cs="Arial"/>
          <w:b/>
          <w:sz w:val="24"/>
          <w:szCs w:val="24"/>
          <w:highlight w:val="none"/>
        </w:rPr>
        <w:t>Xiamen, China, October 09 – October 13,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highlight w:val="none"/>
          <w:lang w:val="en-US" w:eastAsia="zh-CN"/>
        </w:rPr>
        <w:t>6.4.3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UE</w:t>
      </w:r>
      <w:r>
        <w:rPr>
          <w:rFonts w:hint="eastAsia" w:ascii="Arial" w:hAnsi="Arial" w:eastAsia="宋体" w:cs="Arial"/>
          <w:b/>
          <w:sz w:val="24"/>
          <w:szCs w:val="24"/>
          <w:highlight w:val="none"/>
          <w:lang w:val="en-US" w:eastAsia="zh-CN"/>
        </w:rPr>
        <w:t xml:space="preserve"> RF requirements for FDD band (L+S band) for IoT NTN operation</w:t>
      </w:r>
      <w:bookmarkEnd w:id="0"/>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6"/>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RAN#99 meeting, the work item [</w:t>
      </w:r>
      <w:r>
        <w:rPr>
          <w:rFonts w:hint="eastAsia" w:cs="Times New Roman"/>
          <w:sz w:val="20"/>
          <w:szCs w:val="20"/>
          <w:highlight w:val="none"/>
          <w:lang w:val="en-US" w:eastAsia="zh-CN"/>
        </w:rPr>
        <w:t>1</w:t>
      </w:r>
      <w:r>
        <w:rPr>
          <w:rFonts w:hint="eastAsia" w:cs="Times New Roman"/>
          <w:kern w:val="2"/>
          <w:sz w:val="21"/>
          <w:szCs w:val="22"/>
          <w:highlight w:val="none"/>
          <w:lang w:val="en-US" w:eastAsia="zh-CN" w:bidi="ar-SA"/>
        </w:rPr>
        <w:t>] on FDD band (L+S band) for IoT NTN operation was approved. Part of the objective is as follows:</w:t>
      </w:r>
    </w:p>
    <w:p>
      <w:pPr>
        <w:pStyle w:val="35"/>
        <w:numPr>
          <w:ilvl w:val="0"/>
          <w:numId w:val="2"/>
        </w:numPr>
        <w:spacing w:before="120" w:after="0" w:line="240" w:lineRule="auto"/>
        <w:ind w:left="220" w:leftChars="0" w:firstLine="420" w:firstLineChars="200"/>
        <w:rPr>
          <w:rFonts w:cstheme="minorHAnsi"/>
          <w:szCs w:val="28"/>
          <w:lang w:val="en-US"/>
        </w:rPr>
      </w:pPr>
      <w:r>
        <w:rPr>
          <w:rFonts w:cstheme="minorHAnsi"/>
          <w:szCs w:val="24"/>
          <w:lang w:val="en-US"/>
        </w:rPr>
        <w:t>Specify the following new FDD frequency bands for NB-IoT/eMTC NTN operation:</w:t>
      </w:r>
    </w:p>
    <w:p>
      <w:pPr>
        <w:pStyle w:val="35"/>
        <w:numPr>
          <w:ilvl w:val="1"/>
          <w:numId w:val="2"/>
        </w:numPr>
        <w:spacing w:before="120" w:after="0" w:line="240" w:lineRule="auto"/>
        <w:ind w:left="840" w:leftChars="0" w:firstLine="420" w:firstLineChars="200"/>
        <w:rPr>
          <w:rFonts w:cstheme="minorHAnsi"/>
          <w:lang w:val="en-US"/>
        </w:rPr>
      </w:pPr>
      <w:r>
        <w:rPr>
          <w:rFonts w:cstheme="minorHAnsi"/>
          <w:szCs w:val="24"/>
          <w:lang w:val="en-US"/>
        </w:rPr>
        <w:t>1610 – 1626.5 MHz in UL, and 2483.5 – 2500 MHz in DL</w:t>
      </w:r>
    </w:p>
    <w:p>
      <w:pPr>
        <w:pStyle w:val="35"/>
        <w:numPr>
          <w:ilvl w:val="0"/>
          <w:numId w:val="2"/>
        </w:numPr>
        <w:spacing w:before="120" w:after="0" w:line="240" w:lineRule="auto"/>
        <w:ind w:left="220" w:leftChars="0" w:firstLine="420" w:firstLineChars="200"/>
        <w:rPr>
          <w:rFonts w:cstheme="minorHAnsi"/>
          <w:szCs w:val="24"/>
          <w:lang w:val="en-US"/>
        </w:rPr>
      </w:pPr>
      <w:r>
        <w:rPr>
          <w:rFonts w:cstheme="minorHAnsi"/>
          <w:szCs w:val="24"/>
          <w:lang w:val="en-US"/>
        </w:rPr>
        <w:t>Support UE power class 3 (+23dBm) and power class 5 (+20dBm)</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want </w:t>
      </w:r>
      <w:r>
        <w:rPr>
          <w:rFonts w:hint="eastAsia"/>
          <w:lang w:val="en-US" w:eastAsia="zh-CN"/>
        </w:rPr>
        <w:t xml:space="preserve">to </w:t>
      </w:r>
      <w:r>
        <w:rPr>
          <w:rFonts w:hint="eastAsia"/>
          <w:lang w:val="en-US"/>
        </w:rPr>
        <w:t xml:space="preserve">share some initial views on </w:t>
      </w:r>
      <w:r>
        <w:rPr>
          <w:rFonts w:hint="eastAsia"/>
          <w:lang w:val="en-US" w:eastAsia="zh-CN"/>
        </w:rPr>
        <w:t>UE</w:t>
      </w:r>
      <w:r>
        <w:rPr>
          <w:rFonts w:hint="eastAsia"/>
          <w:lang w:val="en-US"/>
        </w:rPr>
        <w:t xml:space="preserve"> RF requirements</w:t>
      </w:r>
      <w:r>
        <w:rPr>
          <w:rFonts w:hint="eastAsia"/>
          <w:lang w:val="en-US" w:eastAsia="zh-CN"/>
        </w:rPr>
        <w:t xml:space="preserve"> for FDD band (L+S band) for IoT NTN operation</w:t>
      </w:r>
      <w:r>
        <w:rPr>
          <w:rFonts w:hint="eastAsia"/>
          <w:lang w:val="en-US"/>
        </w:rPr>
        <w:t xml:space="preserve">. </w:t>
      </w:r>
    </w:p>
    <w:p>
      <w:pPr>
        <w:pStyle w:val="56"/>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4"/>
      <w:bookmarkStart w:id="3" w:name="OLE_LINK13"/>
      <w:bookmarkStart w:id="4" w:name="OLE_LINK10"/>
      <w:bookmarkStart w:id="5" w:name="OLE_LINK20"/>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In the last meeting, an agreement was achieved for out-of-band blocking requirement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color w:val="0070C0"/>
                <w:u w:val="single"/>
              </w:rPr>
            </w:pPr>
            <w:r>
              <w:rPr>
                <w:b/>
                <w:color w:val="0070C0"/>
                <w:u w:val="single"/>
              </w:rPr>
              <w:t>Issue 2-2-1: For band B254 category M1, should the general requirements for NR bands with FDL_high &lt; 2700 MHz and FUL_high &lt; 2700 MHz, i.e., also for band B255, be re-used as Out-of-Band Blocking (OOBB)?</w:t>
            </w:r>
          </w:p>
          <w:p>
            <w:pPr>
              <w:pStyle w:val="35"/>
              <w:numPr>
                <w:ilvl w:val="0"/>
                <w:numId w:val="3"/>
              </w:numPr>
              <w:overflowPunct/>
              <w:autoSpaceDE/>
              <w:autoSpaceDN/>
              <w:adjustRightInd/>
              <w:spacing w:after="120"/>
              <w:ind w:left="720" w:firstLineChars="0"/>
              <w:textAlignment w:val="auto"/>
              <w:rPr>
                <w:color w:val="0070C0"/>
              </w:rPr>
            </w:pPr>
            <w:r>
              <w:rPr>
                <w:color w:val="0070C0"/>
              </w:rPr>
              <w:t>Proposals</w:t>
            </w:r>
          </w:p>
          <w:p>
            <w:pPr>
              <w:pStyle w:val="35"/>
              <w:numPr>
                <w:ilvl w:val="1"/>
                <w:numId w:val="3"/>
              </w:numPr>
              <w:overflowPunct/>
              <w:autoSpaceDE/>
              <w:autoSpaceDN/>
              <w:adjustRightInd/>
              <w:spacing w:after="120"/>
              <w:ind w:left="1440" w:firstLineChars="0"/>
              <w:textAlignment w:val="auto"/>
              <w:rPr>
                <w:color w:val="0070C0"/>
              </w:rPr>
            </w:pPr>
            <w:r>
              <w:rPr>
                <w:color w:val="0070C0"/>
              </w:rPr>
              <w:t>Option 1: Yes</w:t>
            </w:r>
          </w:p>
          <w:p>
            <w:pPr>
              <w:pStyle w:val="35"/>
              <w:numPr>
                <w:ilvl w:val="1"/>
                <w:numId w:val="3"/>
              </w:numPr>
              <w:overflowPunct/>
              <w:autoSpaceDE/>
              <w:autoSpaceDN/>
              <w:adjustRightInd/>
              <w:spacing w:after="120"/>
              <w:ind w:left="1440" w:firstLineChars="0"/>
              <w:textAlignment w:val="auto"/>
              <w:rPr>
                <w:color w:val="0070C0"/>
              </w:rPr>
            </w:pPr>
            <w:r>
              <w:rPr>
                <w:color w:val="0070C0"/>
              </w:rPr>
              <w:t>Option 2: No, please propose a new value.</w:t>
            </w:r>
          </w:p>
          <w:p>
            <w:pPr>
              <w:pStyle w:val="35"/>
              <w:numPr>
                <w:ilvl w:val="0"/>
                <w:numId w:val="3"/>
              </w:numPr>
              <w:overflowPunct/>
              <w:autoSpaceDE/>
              <w:autoSpaceDN/>
              <w:adjustRightInd/>
              <w:spacing w:after="120"/>
              <w:ind w:left="720" w:firstLineChars="0"/>
              <w:textAlignment w:val="auto"/>
              <w:rPr>
                <w:color w:val="0070C0"/>
              </w:rPr>
            </w:pPr>
            <w:r>
              <w:rPr>
                <w:color w:val="0070C0"/>
              </w:rPr>
              <w:t>Recommended WF</w:t>
            </w:r>
          </w:p>
          <w:p>
            <w:pPr>
              <w:pStyle w:val="35"/>
              <w:numPr>
                <w:ilvl w:val="1"/>
                <w:numId w:val="3"/>
              </w:numPr>
              <w:overflowPunct/>
              <w:autoSpaceDE/>
              <w:autoSpaceDN/>
              <w:adjustRightInd/>
              <w:spacing w:after="120"/>
              <w:ind w:left="1440" w:firstLineChars="0"/>
              <w:textAlignment w:val="auto"/>
              <w:rPr>
                <w:color w:val="0070C0"/>
                <w:lang w:val="en-US" w:eastAsia="zh-CN"/>
              </w:rPr>
            </w:pPr>
            <w:r>
              <w:rPr>
                <w:color w:val="0070C0"/>
              </w:rPr>
              <w:t>Option 1?</w:t>
            </w:r>
          </w:p>
          <w:p>
            <w:pPr>
              <w:rPr>
                <w:b/>
                <w:bCs/>
                <w:color w:val="0070C0"/>
                <w:highlight w:val="green"/>
                <w:lang w:val="en-US" w:eastAsia="zh-CN"/>
              </w:rPr>
            </w:pPr>
            <w:r>
              <w:rPr>
                <w:rFonts w:hint="eastAsia"/>
                <w:b/>
                <w:bCs/>
                <w:color w:val="0070C0"/>
                <w:highlight w:val="green"/>
                <w:lang w:val="en-US" w:eastAsia="zh-CN"/>
              </w:rPr>
              <w:t>Agreement:</w:t>
            </w:r>
          </w:p>
          <w:p>
            <w:pPr>
              <w:rPr>
                <w:rFonts w:hint="eastAsia"/>
                <w:b w:val="0"/>
                <w:bCs w:val="0"/>
                <w:i w:val="0"/>
                <w:iCs w:val="0"/>
                <w:vertAlign w:val="baseline"/>
                <w:lang w:val="en-US" w:eastAsia="zh-CN"/>
              </w:rPr>
            </w:pPr>
            <w:r>
              <w:rPr>
                <w:color w:val="0070C0"/>
                <w:lang w:val="en-US" w:eastAsia="zh-CN"/>
              </w:rPr>
              <w:t>Agree on Option 1.</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 xml:space="preserve">However, the above agreement does not involve the details whether relaxation is needed for the requirement of range 3 out-of-band blocking requirement. Based on the analysis of our contribution [3], the note of </w:t>
      </w:r>
      <w:r>
        <w:rPr>
          <w:rFonts w:hint="default"/>
          <w:b w:val="0"/>
          <w:bCs w:val="0"/>
          <w:i w:val="0"/>
          <w:iCs w:val="0"/>
          <w:lang w:val="en-US" w:eastAsia="zh-CN"/>
        </w:rPr>
        <w:t>“</w:t>
      </w:r>
      <w:r>
        <w:rPr>
          <w:rFonts w:hint="eastAsia"/>
          <w:b w:val="0"/>
          <w:bCs w:val="0"/>
          <w:i w:val="0"/>
          <w:iCs w:val="0"/>
          <w:lang w:val="en-US" w:eastAsia="zh-CN"/>
        </w:rPr>
        <w:t>The</w:t>
      </w:r>
      <w:r>
        <w:rPr>
          <w:rFonts w:hint="default"/>
          <w:b w:val="0"/>
          <w:bCs w:val="0"/>
          <w:i w:val="0"/>
          <w:iCs w:val="0"/>
          <w:lang w:val="en-US" w:eastAsia="zh-CN"/>
        </w:rPr>
        <w:t xml:space="preserve"> power level of the interferer (P</w:t>
      </w:r>
      <w:r>
        <w:rPr>
          <w:rFonts w:hint="default"/>
          <w:b w:val="0"/>
          <w:bCs w:val="0"/>
          <w:i w:val="0"/>
          <w:iCs w:val="0"/>
          <w:vertAlign w:val="subscript"/>
          <w:lang w:val="en-US" w:eastAsia="zh-CN"/>
        </w:rPr>
        <w:t>interferer</w:t>
      </w:r>
      <w:r>
        <w:rPr>
          <w:rFonts w:hint="default"/>
          <w:b w:val="0"/>
          <w:bCs w:val="0"/>
          <w:i w:val="0"/>
          <w:iCs w:val="0"/>
          <w:lang w:val="en-US" w:eastAsia="zh-CN"/>
        </w:rPr>
        <w:t>) for Range 3 shall be modified to -20 dBm for F</w:t>
      </w:r>
      <w:r>
        <w:rPr>
          <w:rFonts w:hint="default"/>
          <w:b w:val="0"/>
          <w:bCs w:val="0"/>
          <w:i w:val="0"/>
          <w:iCs w:val="0"/>
          <w:vertAlign w:val="subscript"/>
          <w:lang w:val="en-US" w:eastAsia="zh-CN"/>
        </w:rPr>
        <w:t>interferer</w:t>
      </w:r>
      <w:r>
        <w:rPr>
          <w:rFonts w:hint="default"/>
          <w:b w:val="0"/>
          <w:bCs w:val="0"/>
          <w:i w:val="0"/>
          <w:iCs w:val="0"/>
          <w:lang w:val="en-US" w:eastAsia="zh-CN"/>
        </w:rPr>
        <w:t xml:space="preserve"> &gt; 2585 MHz and F</w:t>
      </w:r>
      <w:r>
        <w:rPr>
          <w:rFonts w:hint="default"/>
          <w:b w:val="0"/>
          <w:bCs w:val="0"/>
          <w:i w:val="0"/>
          <w:iCs w:val="0"/>
          <w:vertAlign w:val="subscript"/>
          <w:lang w:val="en-US" w:eastAsia="zh-CN"/>
        </w:rPr>
        <w:t>Interferer</w:t>
      </w:r>
      <w:r>
        <w:rPr>
          <w:rFonts w:hint="default"/>
          <w:b w:val="0"/>
          <w:bCs w:val="0"/>
          <w:i w:val="0"/>
          <w:iCs w:val="0"/>
          <w:lang w:val="en-US" w:eastAsia="zh-CN"/>
        </w:rPr>
        <w:t xml:space="preserve"> &lt; 2775 MHz.”</w:t>
      </w:r>
      <w:r>
        <w:rPr>
          <w:rFonts w:hint="eastAsia"/>
          <w:b w:val="0"/>
          <w:bCs w:val="0"/>
          <w:i w:val="0"/>
          <w:iCs w:val="0"/>
          <w:lang w:val="en-US" w:eastAsia="zh-CN"/>
        </w:rPr>
        <w:t xml:space="preserve"> also should be introduced for band 254.</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Proposal 1:</w:t>
      </w:r>
      <w:r>
        <w:rPr>
          <w:rFonts w:hint="eastAsia"/>
          <w:b w:val="0"/>
          <w:bCs w:val="0"/>
          <w:i w:val="0"/>
          <w:iCs w:val="0"/>
          <w:lang w:val="en-US" w:eastAsia="zh-CN"/>
        </w:rPr>
        <w:t xml:space="preserve"> For the new FDD frequency bands for NB-IoT/eMTC NTN operation, the note of </w:t>
      </w:r>
      <w:r>
        <w:rPr>
          <w:rFonts w:hint="default"/>
          <w:b w:val="0"/>
          <w:bCs w:val="0"/>
          <w:i w:val="0"/>
          <w:iCs w:val="0"/>
          <w:lang w:val="en-US" w:eastAsia="zh-CN"/>
        </w:rPr>
        <w:t>“</w:t>
      </w:r>
      <w:r>
        <w:rPr>
          <w:rFonts w:hint="eastAsia"/>
          <w:b w:val="0"/>
          <w:bCs w:val="0"/>
          <w:i w:val="0"/>
          <w:iCs w:val="0"/>
          <w:lang w:val="en-US" w:eastAsia="zh-CN"/>
        </w:rPr>
        <w:t>The power level of the interferer (P</w:t>
      </w:r>
      <w:r>
        <w:rPr>
          <w:rFonts w:hint="eastAsia"/>
          <w:b w:val="0"/>
          <w:bCs w:val="0"/>
          <w:i w:val="0"/>
          <w:iCs w:val="0"/>
          <w:vertAlign w:val="subscript"/>
          <w:lang w:val="en-US" w:eastAsia="zh-CN"/>
        </w:rPr>
        <w:t>interferer</w:t>
      </w:r>
      <w:r>
        <w:rPr>
          <w:rFonts w:hint="eastAsia"/>
          <w:b w:val="0"/>
          <w:bCs w:val="0"/>
          <w:i w:val="0"/>
          <w:iCs w:val="0"/>
          <w:lang w:val="en-US" w:eastAsia="zh-CN"/>
        </w:rPr>
        <w:t>) for Range 3 shall be modified to -20 dBm for F</w:t>
      </w:r>
      <w:r>
        <w:rPr>
          <w:rFonts w:hint="eastAsia"/>
          <w:b w:val="0"/>
          <w:bCs w:val="0"/>
          <w:i w:val="0"/>
          <w:iCs w:val="0"/>
          <w:vertAlign w:val="subscript"/>
          <w:lang w:val="en-US" w:eastAsia="zh-CN"/>
        </w:rPr>
        <w:t>interferer</w:t>
      </w:r>
      <w:r>
        <w:rPr>
          <w:rFonts w:hint="eastAsia"/>
          <w:b w:val="0"/>
          <w:bCs w:val="0"/>
          <w:i w:val="0"/>
          <w:iCs w:val="0"/>
          <w:lang w:val="en-US" w:eastAsia="zh-CN"/>
        </w:rPr>
        <w:t xml:space="preserve"> &gt; 2585 MHz and F</w:t>
      </w:r>
      <w:r>
        <w:rPr>
          <w:rFonts w:hint="eastAsia"/>
          <w:b w:val="0"/>
          <w:bCs w:val="0"/>
          <w:i w:val="0"/>
          <w:iCs w:val="0"/>
          <w:vertAlign w:val="subscript"/>
          <w:lang w:val="en-US" w:eastAsia="zh-CN"/>
        </w:rPr>
        <w:t>Interferer</w:t>
      </w:r>
      <w:r>
        <w:rPr>
          <w:rFonts w:hint="eastAsia"/>
          <w:b w:val="0"/>
          <w:bCs w:val="0"/>
          <w:i w:val="0"/>
          <w:iCs w:val="0"/>
          <w:lang w:val="en-US" w:eastAsia="zh-CN"/>
        </w:rPr>
        <w:t xml:space="preserve"> &lt; 2775 MHz.</w:t>
      </w:r>
      <w:r>
        <w:rPr>
          <w:rFonts w:hint="default"/>
          <w:b w:val="0"/>
          <w:bCs w:val="0"/>
          <w:i w:val="0"/>
          <w:iCs w:val="0"/>
          <w:lang w:val="en-US" w:eastAsia="zh-CN"/>
        </w:rPr>
        <w:t>”</w:t>
      </w:r>
      <w:r>
        <w:rPr>
          <w:rFonts w:hint="eastAsia"/>
          <w:b w:val="0"/>
          <w:bCs w:val="0"/>
          <w:i w:val="0"/>
          <w:iCs w:val="0"/>
          <w:lang w:val="en-US" w:eastAsia="zh-CN"/>
        </w:rPr>
        <w:t xml:space="preserve"> should be introduced for band 254.</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Similar analysis [2] also applies to the NS value for band 254 and two NS values should be introduced to support ETSI regulations for the new FDD frequency bands as shown in Table 1.</w:t>
      </w:r>
    </w:p>
    <w:p>
      <w:pPr>
        <w:pStyle w:val="46"/>
      </w:pPr>
      <w:r>
        <w:t>Table</w:t>
      </w:r>
      <w:r>
        <w:rPr>
          <w:rFonts w:hint="eastAsia"/>
          <w:lang w:val="en-US" w:eastAsia="zh-CN"/>
        </w:rPr>
        <w:t xml:space="preserve"> </w:t>
      </w:r>
      <w:r>
        <w:t>1: NS values</w:t>
      </w:r>
      <w:r>
        <w:rPr>
          <w:rFonts w:hint="eastAsia"/>
          <w:lang w:val="en-US" w:eastAsia="zh-CN"/>
        </w:rPr>
        <w:t xml:space="preserve"> for ETSI regulation</w:t>
      </w:r>
    </w:p>
    <w:tbl>
      <w:tblPr>
        <w:tblStyle w:val="26"/>
        <w:tblW w:w="8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1157"/>
        <w:gridCol w:w="1667"/>
        <w:gridCol w:w="2178"/>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tcPr>
          <w:p>
            <w:pPr>
              <w:pStyle w:val="36"/>
            </w:pPr>
            <w:r>
              <w:t>NS value</w:t>
            </w:r>
          </w:p>
        </w:tc>
        <w:tc>
          <w:tcPr>
            <w:tcW w:w="1157" w:type="dxa"/>
          </w:tcPr>
          <w:p>
            <w:pPr>
              <w:pStyle w:val="36"/>
            </w:pPr>
            <w:r>
              <w:t>Regulatory domain</w:t>
            </w:r>
          </w:p>
        </w:tc>
        <w:tc>
          <w:tcPr>
            <w:tcW w:w="1667" w:type="dxa"/>
          </w:tcPr>
          <w:p>
            <w:pPr>
              <w:pStyle w:val="36"/>
            </w:pPr>
            <w:r>
              <w:t>Applicable range (MHz)</w:t>
            </w:r>
          </w:p>
        </w:tc>
        <w:tc>
          <w:tcPr>
            <w:tcW w:w="2178" w:type="dxa"/>
          </w:tcPr>
          <w:p>
            <w:pPr>
              <w:pStyle w:val="36"/>
            </w:pPr>
            <w:r>
              <w:t>In-band emissions</w:t>
            </w:r>
          </w:p>
        </w:tc>
        <w:tc>
          <w:tcPr>
            <w:tcW w:w="2126" w:type="dxa"/>
          </w:tcPr>
          <w:p>
            <w:pPr>
              <w:pStyle w:val="36"/>
            </w:pPr>
            <w:r>
              <w:t>Out-of-band emissions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tcPr>
          <w:p>
            <w:pPr>
              <w:pStyle w:val="37"/>
            </w:pPr>
            <w:r>
              <w:t>NS_0</w:t>
            </w:r>
            <w:r>
              <w:rPr>
                <w:rFonts w:hint="eastAsia" w:eastAsia="宋体"/>
                <w:lang w:val="en-US" w:eastAsia="zh-CN"/>
              </w:rPr>
              <w:t>4</w:t>
            </w:r>
            <w:r>
              <w:t>N</w:t>
            </w:r>
          </w:p>
        </w:tc>
        <w:tc>
          <w:tcPr>
            <w:tcW w:w="1157" w:type="dxa"/>
            <w:vMerge w:val="restart"/>
            <w:vAlign w:val="center"/>
          </w:tcPr>
          <w:p>
            <w:pPr>
              <w:pStyle w:val="37"/>
              <w:jc w:val="center"/>
            </w:pPr>
            <w:r>
              <w:t>ETSI</w:t>
            </w:r>
          </w:p>
        </w:tc>
        <w:tc>
          <w:tcPr>
            <w:tcW w:w="1667" w:type="dxa"/>
          </w:tcPr>
          <w:p>
            <w:pPr>
              <w:pStyle w:val="37"/>
            </w:pPr>
            <w:r>
              <w:t>1610-1618.25</w:t>
            </w:r>
          </w:p>
        </w:tc>
        <w:tc>
          <w:tcPr>
            <w:tcW w:w="2178" w:type="dxa"/>
          </w:tcPr>
          <w:p>
            <w:pPr>
              <w:pStyle w:val="37"/>
            </w:pPr>
            <w:r>
              <w:t>ETSI (1610-1618.25)</w:t>
            </w:r>
          </w:p>
        </w:tc>
        <w:tc>
          <w:tcPr>
            <w:tcW w:w="2126" w:type="dxa"/>
            <w:vMerge w:val="restart"/>
          </w:tcPr>
          <w:p>
            <w:pPr>
              <w:pStyle w:val="37"/>
            </w:pPr>
            <w:r>
              <w:t>ETSI (1559-1610MHz)</w:t>
            </w:r>
          </w:p>
          <w:p>
            <w:pPr>
              <w:pStyle w:val="37"/>
            </w:pPr>
            <w:r>
              <w:t>ETSI (&gt;1628.5MHz)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tcPr>
          <w:p>
            <w:pPr>
              <w:pStyle w:val="37"/>
            </w:pPr>
            <w:r>
              <w:t>NS_0</w:t>
            </w:r>
            <w:r>
              <w:rPr>
                <w:rFonts w:hint="eastAsia" w:eastAsia="宋体"/>
                <w:lang w:val="en-US" w:eastAsia="zh-CN"/>
              </w:rPr>
              <w:t>5</w:t>
            </w:r>
            <w:r>
              <w:t>N</w:t>
            </w:r>
          </w:p>
        </w:tc>
        <w:tc>
          <w:tcPr>
            <w:tcW w:w="1157" w:type="dxa"/>
            <w:vMerge w:val="continue"/>
          </w:tcPr>
          <w:p>
            <w:pPr>
              <w:pStyle w:val="37"/>
            </w:pPr>
          </w:p>
        </w:tc>
        <w:tc>
          <w:tcPr>
            <w:tcW w:w="1667" w:type="dxa"/>
          </w:tcPr>
          <w:p>
            <w:pPr>
              <w:pStyle w:val="37"/>
            </w:pPr>
            <w:r>
              <w:t>1618.25-1626.5</w:t>
            </w:r>
          </w:p>
        </w:tc>
        <w:tc>
          <w:tcPr>
            <w:tcW w:w="2178" w:type="dxa"/>
          </w:tcPr>
          <w:p>
            <w:pPr>
              <w:pStyle w:val="37"/>
            </w:pPr>
            <w:r>
              <w:t>ETSI (1618.25-1626.5)</w:t>
            </w:r>
          </w:p>
        </w:tc>
        <w:tc>
          <w:tcPr>
            <w:tcW w:w="2126" w:type="dxa"/>
            <w:vMerge w:val="continue"/>
          </w:tcPr>
          <w:p>
            <w:pPr>
              <w:pStyle w:val="37"/>
            </w:pP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2:</w:t>
      </w:r>
      <w:r>
        <w:rPr>
          <w:rFonts w:hint="eastAsia"/>
          <w:b w:val="0"/>
          <w:bCs w:val="0"/>
          <w:i w:val="0"/>
          <w:iCs w:val="0"/>
          <w:lang w:val="en-US" w:eastAsia="zh-CN"/>
        </w:rPr>
        <w:t xml:space="preserve"> Two NS values should be introduced to support ETSI regulations for the new FDD frequency bands as shown in Table 1.</w:t>
      </w:r>
    </w:p>
    <w:bookmarkEnd w:id="2"/>
    <w:bookmarkEnd w:id="3"/>
    <w:bookmarkEnd w:id="4"/>
    <w:bookmarkEnd w:id="5"/>
    <w:p>
      <w:pPr>
        <w:pStyle w:val="56"/>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UE</w:t>
      </w:r>
      <w:r>
        <w:rPr>
          <w:rFonts w:hint="eastAsia"/>
          <w:lang w:val="en-US"/>
        </w:rPr>
        <w:t xml:space="preserve"> RF requirements for Introduction of the satellite L-/S-band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1:</w:t>
      </w:r>
      <w:r>
        <w:rPr>
          <w:rFonts w:hint="eastAsia"/>
          <w:b w:val="0"/>
          <w:bCs w:val="0"/>
          <w:i w:val="0"/>
          <w:iCs w:val="0"/>
          <w:lang w:val="en-US" w:eastAsia="zh-CN"/>
        </w:rPr>
        <w:t xml:space="preserve"> For the new FDD frequency bands for NB-IoT/eMTC NTN operation, the note of “The power level of the interferer (P</w:t>
      </w:r>
      <w:r>
        <w:rPr>
          <w:rFonts w:hint="eastAsia"/>
          <w:b w:val="0"/>
          <w:bCs w:val="0"/>
          <w:i w:val="0"/>
          <w:iCs w:val="0"/>
          <w:vertAlign w:val="subscript"/>
          <w:lang w:val="en-US" w:eastAsia="zh-CN"/>
        </w:rPr>
        <w:t>interferer</w:t>
      </w:r>
      <w:r>
        <w:rPr>
          <w:rFonts w:hint="eastAsia"/>
          <w:b w:val="0"/>
          <w:bCs w:val="0"/>
          <w:i w:val="0"/>
          <w:iCs w:val="0"/>
          <w:lang w:val="en-US" w:eastAsia="zh-CN"/>
        </w:rPr>
        <w:t>) for Range 3 shall be modified to -20 dBm for F</w:t>
      </w:r>
      <w:r>
        <w:rPr>
          <w:rFonts w:hint="eastAsia"/>
          <w:b w:val="0"/>
          <w:bCs w:val="0"/>
          <w:i w:val="0"/>
          <w:iCs w:val="0"/>
          <w:vertAlign w:val="subscript"/>
          <w:lang w:val="en-US" w:eastAsia="zh-CN"/>
        </w:rPr>
        <w:t>interferer</w:t>
      </w:r>
      <w:r>
        <w:rPr>
          <w:rFonts w:hint="eastAsia"/>
          <w:b w:val="0"/>
          <w:bCs w:val="0"/>
          <w:i w:val="0"/>
          <w:iCs w:val="0"/>
          <w:lang w:val="en-US" w:eastAsia="zh-CN"/>
        </w:rPr>
        <w:t xml:space="preserve"> &gt; 2585 MHz and F</w:t>
      </w:r>
      <w:r>
        <w:rPr>
          <w:rFonts w:hint="eastAsia"/>
          <w:b w:val="0"/>
          <w:bCs w:val="0"/>
          <w:i w:val="0"/>
          <w:iCs w:val="0"/>
          <w:vertAlign w:val="subscript"/>
          <w:lang w:val="en-US" w:eastAsia="zh-CN"/>
        </w:rPr>
        <w:t>Interferer</w:t>
      </w:r>
      <w:r>
        <w:rPr>
          <w:rFonts w:hint="eastAsia"/>
          <w:b w:val="0"/>
          <w:bCs w:val="0"/>
          <w:i w:val="0"/>
          <w:iCs w:val="0"/>
          <w:lang w:val="en-US" w:eastAsia="zh-CN"/>
        </w:rPr>
        <w:t xml:space="preserve"> &lt; 2775 MHz.” should be introduced for band 254.</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2:</w:t>
      </w:r>
      <w:r>
        <w:rPr>
          <w:rFonts w:hint="eastAsia"/>
          <w:b w:val="0"/>
          <w:bCs w:val="0"/>
          <w:i w:val="0"/>
          <w:iCs w:val="0"/>
          <w:lang w:val="en-US" w:eastAsia="zh-CN"/>
        </w:rPr>
        <w:t xml:space="preserve"> Two NS values should be introduced to support ETSI regulations for the new FDD frequency bands as shown in Table 1.</w:t>
      </w:r>
    </w:p>
    <w:p>
      <w:pPr>
        <w:pStyle w:val="56"/>
        <w:tabs>
          <w:tab w:val="left" w:pos="567"/>
          <w:tab w:val="clear" w:pos="1985"/>
        </w:tabs>
        <w:adjustRightInd w:val="0"/>
        <w:ind w:left="510" w:hanging="510"/>
        <w:rPr>
          <w:highlight w:val="none"/>
        </w:rPr>
      </w:pPr>
      <w:r>
        <w:rPr>
          <w:highlight w:val="none"/>
        </w:rPr>
        <w:t>References</w:t>
      </w:r>
    </w:p>
    <w:p>
      <w:pPr>
        <w:pStyle w:val="54"/>
        <w:numPr>
          <w:ilvl w:val="0"/>
          <w:numId w:val="4"/>
        </w:numPr>
      </w:pPr>
      <w:r>
        <w:rPr>
          <w:rFonts w:hint="eastAsia" w:ascii="Times New Roman" w:hAnsi="Times New Roman" w:eastAsia="宋体" w:cs="Times New Roman"/>
          <w:sz w:val="20"/>
          <w:szCs w:val="20"/>
          <w:highlight w:val="none"/>
          <w:lang w:val="en-US" w:eastAsia="zh-CN"/>
        </w:rPr>
        <w:t>RP-230792</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New WID: FDD band (L+S band) for IoT NTN operation”, MediaTek Inc. Apple, Globalstar, Kepler Communications, Qualcomm, ZTE</w:t>
      </w:r>
    </w:p>
    <w:p>
      <w:pPr>
        <w:pStyle w:val="54"/>
        <w:numPr>
          <w:ilvl w:val="0"/>
          <w:numId w:val="4"/>
        </w:numPr>
      </w:pPr>
      <w:r>
        <w:rPr>
          <w:rFonts w:hint="eastAsia"/>
          <w:highlight w:val="none"/>
          <w:lang w:val="en-US" w:eastAsia="zh-CN"/>
        </w:rPr>
        <w:t>R4-2315670</w:t>
      </w:r>
      <w:r>
        <w:rPr>
          <w:rFonts w:hint="eastAsia"/>
          <w:lang w:val="en-US" w:eastAsia="zh-CN"/>
        </w:rPr>
        <w:t xml:space="preserve">, </w:t>
      </w:r>
      <w:r>
        <w:rPr>
          <w:rFonts w:hint="default"/>
          <w:lang w:val="en-US" w:eastAsia="zh-CN"/>
        </w:rPr>
        <w:t>“</w:t>
      </w:r>
      <w:r>
        <w:rPr>
          <w:rFonts w:hint="eastAsia"/>
        </w:rPr>
        <w:t>Discussion on UE RF requirements for the satellite L-</w:t>
      </w:r>
      <w:r>
        <w:rPr>
          <w:rFonts w:hint="eastAsia"/>
          <w:lang w:val="en-US" w:eastAsia="zh-CN"/>
        </w:rPr>
        <w:t xml:space="preserve">band and </w:t>
      </w:r>
      <w:r>
        <w:rPr>
          <w:rFonts w:hint="eastAsia"/>
        </w:rPr>
        <w:t>S-band</w:t>
      </w:r>
      <w:r>
        <w:rPr>
          <w:rFonts w:hint="default"/>
          <w:lang w:val="en-US" w:eastAsia="zh-CN"/>
        </w:rPr>
        <w:t>”</w:t>
      </w:r>
      <w:r>
        <w:rPr>
          <w:rFonts w:hint="eastAsia"/>
          <w:lang w:val="en-US" w:eastAsia="zh-CN"/>
        </w:rPr>
        <w:t>, ZTE</w:t>
      </w:r>
      <w:bookmarkStart w:id="6" w:name="_GoBack"/>
      <w:bookmarkEnd w:id="6"/>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F154DFA"/>
    <w:multiLevelType w:val="multilevel"/>
    <w:tmpl w:val="0F154DFA"/>
    <w:lvl w:ilvl="0" w:tentative="0">
      <w:start w:val="1"/>
      <w:numFmt w:val="bullet"/>
      <w:lvlText w:val=""/>
      <w:lvlJc w:val="left"/>
      <w:pPr>
        <w:ind w:left="720" w:hanging="360"/>
      </w:pPr>
      <w:rPr>
        <w:rFonts w:hint="default" w:ascii="Symbol" w:hAnsi="Symbol"/>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70108"/>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A718A"/>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F27B4"/>
    <w:rsid w:val="07D835FB"/>
    <w:rsid w:val="07DB0AA8"/>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41FEF"/>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AD03F7"/>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1D7543"/>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34626E"/>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94E84"/>
    <w:rsid w:val="278A6416"/>
    <w:rsid w:val="27907336"/>
    <w:rsid w:val="279408D2"/>
    <w:rsid w:val="279A2ED3"/>
    <w:rsid w:val="279D17AF"/>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15A45"/>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256C0"/>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9E0221"/>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234E4"/>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644D3"/>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06CDC"/>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37EF3"/>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5E3E07"/>
    <w:rsid w:val="456C4CA4"/>
    <w:rsid w:val="457736FF"/>
    <w:rsid w:val="45790DCE"/>
    <w:rsid w:val="457E31A2"/>
    <w:rsid w:val="45831711"/>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57311"/>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A3415"/>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04427"/>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6588D"/>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5C0256"/>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9259E2"/>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579B"/>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C0E25"/>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2051C"/>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CFE170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C35EA7"/>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0F91E66"/>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4423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72483"/>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8"/>
    <w:next w:val="1"/>
    <w:link w:val="66"/>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0"/>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2"/>
    <w:qFormat/>
    <w:uiPriority w:val="0"/>
    <w:pPr>
      <w:widowControl/>
      <w:spacing w:before="152" w:after="160"/>
    </w:pPr>
    <w:rPr>
      <w:rFonts w:ascii="Arial" w:hAnsi="Arial" w:eastAsia="黑体"/>
      <w:kern w:val="0"/>
      <w:sz w:val="20"/>
      <w:szCs w:val="20"/>
    </w:rPr>
  </w:style>
  <w:style w:type="paragraph" w:styleId="13">
    <w:name w:val="Document Map"/>
    <w:basedOn w:val="1"/>
    <w:link w:val="81"/>
    <w:unhideWhenUsed/>
    <w:qFormat/>
    <w:uiPriority w:val="99"/>
    <w:rPr>
      <w:rFonts w:ascii="宋体"/>
      <w:kern w:val="0"/>
      <w:sz w:val="18"/>
      <w:szCs w:val="18"/>
    </w:rPr>
  </w:style>
  <w:style w:type="paragraph" w:styleId="14">
    <w:name w:val="annotation text"/>
    <w:basedOn w:val="1"/>
    <w:link w:val="90"/>
    <w:unhideWhenUsed/>
    <w:qFormat/>
    <w:uiPriority w:val="99"/>
    <w:rPr>
      <w:sz w:val="20"/>
      <w:szCs w:val="20"/>
    </w:rPr>
  </w:style>
  <w:style w:type="paragraph" w:styleId="15">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99"/>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78"/>
    <w:unhideWhenUsed/>
    <w:qFormat/>
    <w:uiPriority w:val="99"/>
    <w:rPr>
      <w:sz w:val="18"/>
      <w:szCs w:val="18"/>
    </w:rPr>
  </w:style>
  <w:style w:type="paragraph" w:styleId="19">
    <w:name w:val="footer"/>
    <w:basedOn w:val="20"/>
    <w:link w:val="84"/>
    <w:unhideWhenUsed/>
    <w:qFormat/>
    <w:uiPriority w:val="99"/>
    <w:pPr>
      <w:tabs>
        <w:tab w:val="center" w:pos="4153"/>
        <w:tab w:val="right" w:pos="8306"/>
      </w:tabs>
      <w:jc w:val="left"/>
    </w:pPr>
  </w:style>
  <w:style w:type="paragraph" w:styleId="20">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38"/>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7"/>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7"/>
    <w:qFormat/>
    <w:uiPriority w:val="0"/>
  </w:style>
  <w:style w:type="character" w:customStyle="1" w:styleId="64">
    <w:name w:val="c-icon"/>
    <w:basedOn w:val="27"/>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Heading 6 Char"/>
    <w:link w:val="7"/>
    <w:qFormat/>
    <w:uiPriority w:val="0"/>
    <w:rPr>
      <w:rFonts w:ascii="Arial" w:hAnsi="Arial" w:eastAsia="宋体"/>
      <w:lang w:val="en-GB" w:eastAsia="en-US"/>
    </w:rPr>
  </w:style>
  <w:style w:type="character" w:customStyle="1" w:styleId="67">
    <w:name w:val="c-icon14"/>
    <w:basedOn w:val="27"/>
    <w:qFormat/>
    <w:uiPriority w:val="0"/>
  </w:style>
  <w:style w:type="character" w:customStyle="1" w:styleId="68">
    <w:name w:val="Heading 8 Char"/>
    <w:link w:val="10"/>
    <w:qFormat/>
    <w:uiPriority w:val="0"/>
    <w:rPr>
      <w:rFonts w:ascii="Arial" w:hAnsi="Arial" w:eastAsia="宋体"/>
      <w:sz w:val="36"/>
      <w:lang w:val="en-GB" w:eastAsia="en-US"/>
    </w:rPr>
  </w:style>
  <w:style w:type="character" w:customStyle="1" w:styleId="69">
    <w:name w:val="op_dict_text2"/>
    <w:basedOn w:val="27"/>
    <w:qFormat/>
    <w:uiPriority w:val="0"/>
  </w:style>
  <w:style w:type="character" w:customStyle="1" w:styleId="70">
    <w:name w:val="Heading 9 Char"/>
    <w:link w:val="11"/>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Caption Char"/>
    <w:link w:val="12"/>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7"/>
    <w:link w:val="37"/>
    <w:qFormat/>
    <w:uiPriority w:val="0"/>
    <w:rPr>
      <w:rFonts w:ascii="Arial" w:hAnsi="Arial" w:eastAsia="Times New Roman" w:cs="Times New Roman"/>
      <w:kern w:val="0"/>
      <w:sz w:val="18"/>
      <w:szCs w:val="20"/>
      <w:lang w:val="en-GB" w:eastAsia="ja-JP"/>
    </w:rPr>
  </w:style>
  <w:style w:type="character" w:customStyle="1" w:styleId="77">
    <w:name w:val="Heading 4 Char"/>
    <w:link w:val="5"/>
    <w:qFormat/>
    <w:uiPriority w:val="0"/>
    <w:rPr>
      <w:rFonts w:ascii="Arial" w:hAnsi="Arial" w:eastAsia="宋体"/>
      <w:sz w:val="24"/>
      <w:lang w:val="en-GB" w:eastAsia="en-US"/>
    </w:rPr>
  </w:style>
  <w:style w:type="character" w:customStyle="1" w:styleId="78">
    <w:name w:val="Balloon Text Char"/>
    <w:link w:val="18"/>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Header Char"/>
    <w:link w:val="20"/>
    <w:qFormat/>
    <w:uiPriority w:val="99"/>
    <w:rPr>
      <w:sz w:val="18"/>
      <w:szCs w:val="18"/>
    </w:rPr>
  </w:style>
  <w:style w:type="character" w:customStyle="1" w:styleId="81">
    <w:name w:val="Document Map Char"/>
    <w:link w:val="13"/>
    <w:semiHidden/>
    <w:qFormat/>
    <w:uiPriority w:val="99"/>
    <w:rPr>
      <w:rFonts w:ascii="宋体" w:eastAsia="宋体"/>
      <w:sz w:val="18"/>
      <w:szCs w:val="18"/>
    </w:rPr>
  </w:style>
  <w:style w:type="character" w:customStyle="1" w:styleId="82">
    <w:name w:val="Heading 7 Char"/>
    <w:link w:val="9"/>
    <w:qFormat/>
    <w:uiPriority w:val="0"/>
    <w:rPr>
      <w:rFonts w:ascii="Arial" w:hAnsi="Arial" w:eastAsia="宋体"/>
      <w:lang w:val="en-GB" w:eastAsia="en-US"/>
    </w:rPr>
  </w:style>
  <w:style w:type="character" w:customStyle="1" w:styleId="83">
    <w:name w:val="Heading 1 Char"/>
    <w:link w:val="2"/>
    <w:qFormat/>
    <w:uiPriority w:val="9"/>
    <w:rPr>
      <w:rFonts w:ascii="Cambria" w:hAnsi="Cambria" w:eastAsia="宋体" w:cs="Times New Roman"/>
      <w:b/>
      <w:bCs/>
      <w:kern w:val="32"/>
      <w:sz w:val="32"/>
      <w:szCs w:val="32"/>
      <w:lang w:val="en-US"/>
    </w:rPr>
  </w:style>
  <w:style w:type="character" w:customStyle="1" w:styleId="84">
    <w:name w:val="Footer Char"/>
    <w:link w:val="19"/>
    <w:qFormat/>
    <w:uiPriority w:val="99"/>
    <w:rPr>
      <w:sz w:val="18"/>
      <w:szCs w:val="18"/>
    </w:rPr>
  </w:style>
  <w:style w:type="character" w:customStyle="1" w:styleId="85">
    <w:name w:val="Comment Subject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Heading 2 Char"/>
    <w:link w:val="3"/>
    <w:qFormat/>
    <w:uiPriority w:val="0"/>
    <w:rPr>
      <w:rFonts w:ascii="Arial" w:hAnsi="Arial"/>
      <w:sz w:val="32"/>
      <w:lang w:eastAsia="en-US"/>
    </w:rPr>
  </w:style>
  <w:style w:type="character" w:customStyle="1" w:styleId="88">
    <w:name w:val="Heading 5 Char"/>
    <w:link w:val="6"/>
    <w:qFormat/>
    <w:uiPriority w:val="0"/>
    <w:rPr>
      <w:rFonts w:ascii="Arial" w:hAnsi="Arial" w:eastAsia="宋体"/>
      <w:sz w:val="22"/>
      <w:lang w:val="en-GB" w:eastAsia="en-US"/>
    </w:rPr>
  </w:style>
  <w:style w:type="character" w:customStyle="1" w:styleId="89">
    <w:name w:val="Heading 3 Char"/>
    <w:link w:val="4"/>
    <w:qFormat/>
    <w:uiPriority w:val="0"/>
    <w:rPr>
      <w:rFonts w:ascii="Arial" w:hAnsi="Arial"/>
      <w:sz w:val="28"/>
      <w:lang w:eastAsia="en-US"/>
    </w:rPr>
  </w:style>
  <w:style w:type="character" w:customStyle="1" w:styleId="90">
    <w:name w:val="Comment Text Char"/>
    <w:link w:val="14"/>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5"/>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character" w:customStyle="1" w:styleId="95">
    <w:name w:val="eop"/>
    <w:basedOn w:val="27"/>
    <w:qFormat/>
    <w:uiPriority w:val="0"/>
  </w:style>
  <w:style w:type="paragraph" w:customStyle="1" w:styleId="96">
    <w:name w:val="TAR"/>
    <w:basedOn w:val="38"/>
    <w:qFormat/>
    <w:uiPriority w:val="0"/>
    <w:pPr>
      <w:jc w:val="right"/>
    </w:pPr>
  </w:style>
  <w:style w:type="paragraph" w:customStyle="1" w:styleId="97">
    <w:name w:val="B2"/>
    <w:basedOn w:val="16"/>
    <w:qFormat/>
    <w:uiPriority w:val="0"/>
    <w:pPr>
      <w:ind w:left="851"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6</TotalTime>
  <ScaleCrop>false</ScaleCrop>
  <LinksUpToDate>false</LinksUpToDate>
  <CharactersWithSpaces>5088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2023-09-27T08:52:42Z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0551CC3BA22B4340AE6A225DA4985D2D</vt:lpwstr>
  </property>
</Properties>
</file>